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FF5501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152                   18 августа 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F64BE8" w:rsidRDefault="00F64BE8" w:rsidP="00F64BE8">
      <w:pPr>
        <w:ind w:firstLine="708"/>
        <w:jc w:val="center"/>
        <w:rPr>
          <w:b/>
          <w:u w:val="single"/>
        </w:rPr>
      </w:pPr>
    </w:p>
    <w:p w:rsidR="00FF5501" w:rsidRPr="00FF5501" w:rsidRDefault="00FF5501" w:rsidP="00FF5501">
      <w:pPr>
        <w:jc w:val="center"/>
        <w:rPr>
          <w:b/>
          <w:u w:val="single"/>
        </w:rPr>
      </w:pPr>
      <w:r w:rsidRPr="00FF5501">
        <w:rPr>
          <w:b/>
          <w:u w:val="single"/>
        </w:rPr>
        <w:t>Профилактика рисков причинения вреда (ущерба) охраняемым законом ценностям в Федеральном законе «О государственном контроле (надзоре) и муниципальном контроле в Российской Федерации»</w:t>
      </w:r>
    </w:p>
    <w:p w:rsidR="00FF5501" w:rsidRPr="00C6542B" w:rsidRDefault="00FF5501" w:rsidP="00FF5501">
      <w:pPr>
        <w:jc w:val="both"/>
      </w:pPr>
    </w:p>
    <w:p w:rsidR="00FF5501" w:rsidRPr="00C6542B" w:rsidRDefault="00FF5501" w:rsidP="00FF5501">
      <w:pPr>
        <w:ind w:firstLine="720"/>
        <w:jc w:val="both"/>
      </w:pPr>
      <w:r w:rsidRPr="00C6542B">
        <w:t>С 01 июля 2021 года вступил в силу Федеральный закон от 31.07.2020 № 248-ФЗ «О государственном контроле (надзоре) и муниципальном контроле в Российской Федерации» (далее – Закон № 248-ФЗ), за исключением положений, для которых установлены иные сроки вступления в силу.</w:t>
      </w:r>
    </w:p>
    <w:p w:rsidR="00FF5501" w:rsidRPr="00C6542B" w:rsidRDefault="00FF5501" w:rsidP="00FF5501">
      <w:pPr>
        <w:ind w:firstLine="720"/>
        <w:jc w:val="both"/>
      </w:pPr>
      <w:r w:rsidRPr="00C6542B">
        <w:t>Вся контрольно-надзорная деятельность с указанной даты должна строиться в рамках нового правового регулирования.</w:t>
      </w:r>
    </w:p>
    <w:p w:rsidR="00FF5501" w:rsidRPr="00C6542B" w:rsidRDefault="00FF5501" w:rsidP="00FF5501">
      <w:pPr>
        <w:ind w:firstLine="720"/>
        <w:jc w:val="both"/>
      </w:pPr>
      <w:proofErr w:type="gramStart"/>
      <w:r w:rsidRPr="00C6542B">
        <w:t>Вместе с тем, в силу ч. 8 ст. 98 Закона № 248-ФЗ 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  <w:proofErr w:type="gramEnd"/>
    </w:p>
    <w:p w:rsidR="00FF5501" w:rsidRPr="00C6542B" w:rsidRDefault="00FF5501" w:rsidP="00FF5501">
      <w:pPr>
        <w:ind w:firstLine="720"/>
        <w:jc w:val="both"/>
      </w:pPr>
      <w:r w:rsidRPr="00C6542B">
        <w:t>Особенностью нового закона стало смещение акцента с проверок предпринимателей на профилактику рисков причинения вреда (ущерба) охраняемым законом ценностям.</w:t>
      </w:r>
    </w:p>
    <w:p w:rsidR="00FF5501" w:rsidRPr="00C6542B" w:rsidRDefault="00FF5501" w:rsidP="00FF5501">
      <w:pPr>
        <w:ind w:firstLine="720"/>
        <w:jc w:val="both"/>
      </w:pPr>
      <w:r w:rsidRPr="00C6542B">
        <w:t xml:space="preserve">В связи с принятием Закона № 248-ФЗ работа по профилактике </w:t>
      </w:r>
      <w:proofErr w:type="gramStart"/>
      <w:r w:rsidRPr="00C6542B">
        <w:t>будет</w:t>
      </w:r>
      <w:proofErr w:type="gramEnd"/>
      <w:r w:rsidRPr="00C6542B">
        <w:t xml:space="preserve"> заключается в предупреждении возникновения указанных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FF5501" w:rsidRPr="00C6542B" w:rsidRDefault="00FF5501" w:rsidP="00FF5501">
      <w:pPr>
        <w:ind w:firstLine="720"/>
        <w:jc w:val="both"/>
      </w:pPr>
      <w:r w:rsidRPr="00C6542B">
        <w:t xml:space="preserve">В целях реализации в качестве приоритетного </w:t>
      </w:r>
      <w:proofErr w:type="gramStart"/>
      <w:r w:rsidRPr="00C6542B">
        <w:t>направления профилактики риска причинения вреда</w:t>
      </w:r>
      <w:proofErr w:type="gramEnd"/>
      <w:r w:rsidRPr="00C6542B">
        <w:t xml:space="preserve"> Законом № 248-ФЗ предусмотрено 7 новых видов профилактических мероприятий и система управления рисками причинения вреда.</w:t>
      </w:r>
    </w:p>
    <w:p w:rsidR="00FF5501" w:rsidRPr="00C6542B" w:rsidRDefault="00FF5501" w:rsidP="00FF5501">
      <w:pPr>
        <w:ind w:firstLine="720"/>
        <w:jc w:val="both"/>
      </w:pPr>
      <w:r w:rsidRPr="00C6542B">
        <w:t>Выделяются следующие виды профилактических мероприятий:</w:t>
      </w:r>
    </w:p>
    <w:p w:rsidR="00FF5501" w:rsidRPr="00C6542B" w:rsidRDefault="00FF5501" w:rsidP="00FF5501">
      <w:pPr>
        <w:ind w:firstLine="720"/>
        <w:jc w:val="both"/>
      </w:pPr>
      <w:r w:rsidRPr="00C6542B">
        <w:t xml:space="preserve">1) Информирование </w:t>
      </w:r>
      <w:r>
        <w:t>–</w:t>
      </w:r>
      <w:r w:rsidRPr="00C6542B">
        <w:t xml:space="preserve"> осуществляется</w:t>
      </w:r>
      <w:r>
        <w:t xml:space="preserve"> </w:t>
      </w:r>
      <w:r w:rsidRPr="00C6542B">
        <w:t>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F5501" w:rsidRPr="00C6542B" w:rsidRDefault="00FF5501" w:rsidP="00FF5501">
      <w:pPr>
        <w:ind w:firstLine="720"/>
        <w:jc w:val="both"/>
      </w:pPr>
      <w:r w:rsidRPr="00C6542B">
        <w:lastRenderedPageBreak/>
        <w:t>2) Обобщение правоприменительной практики в целях обеспечения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 и выявления типичных нарушений обязательных требований, причин, факторов и условий, способствующих возникновению указанных нарушений.</w:t>
      </w:r>
    </w:p>
    <w:p w:rsidR="00FF5501" w:rsidRPr="00C6542B" w:rsidRDefault="00FF5501" w:rsidP="00FF5501">
      <w:pPr>
        <w:ind w:firstLine="720"/>
        <w:jc w:val="both"/>
      </w:pPr>
      <w:proofErr w:type="gramStart"/>
      <w:r w:rsidRPr="00C6542B">
        <w:t xml:space="preserve">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(доклад о правоприменительной практике), который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«Интернет» в сроки, указанные в положении о виде контроля. </w:t>
      </w:r>
      <w:proofErr w:type="gramEnd"/>
    </w:p>
    <w:p w:rsidR="00FF5501" w:rsidRPr="00C6542B" w:rsidRDefault="00FF5501" w:rsidP="00FF5501">
      <w:pPr>
        <w:ind w:firstLine="720"/>
        <w:jc w:val="both"/>
      </w:pPr>
      <w:r w:rsidRPr="00C6542B">
        <w:t>3) Меры стимулирования добросовестности - нематериальное поощрение тех, кто добросовестно соблюдает обязательные требования. Порядок оценки добросовестности, в том числе виды мер стимулирования добросовестности, устанавливается положением о виде контроля.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«Интернет».</w:t>
      </w:r>
    </w:p>
    <w:p w:rsidR="00FF5501" w:rsidRPr="00C6542B" w:rsidRDefault="00FF5501" w:rsidP="00FF5501">
      <w:pPr>
        <w:ind w:firstLine="720"/>
        <w:jc w:val="both"/>
      </w:pPr>
      <w:r w:rsidRPr="00C6542B">
        <w:t>4) Объявление предостережения - при наличии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C6542B">
        <w:t xml:space="preserve">надзорный) </w:t>
      </w:r>
      <w:proofErr w:type="gramEnd"/>
      <w:r w:rsidRPr="00C6542B"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F5501" w:rsidRPr="00C6542B" w:rsidRDefault="00FF5501" w:rsidP="00FF5501">
      <w:pPr>
        <w:ind w:firstLine="720"/>
        <w:jc w:val="both"/>
      </w:pPr>
      <w:proofErr w:type="gramStart"/>
      <w:r w:rsidRPr="00C6542B">
        <w:t>5) Консультирование - должностное лицо контрольного (надзорного) органа по обращениям контролируемых лиц и их представителей дает разъяснения по вопросам, связанным с организацией и осуществлением государственного контроля (надзора), муниципального контроля) без взимания платы.</w:t>
      </w:r>
      <w:proofErr w:type="gramEnd"/>
    </w:p>
    <w:p w:rsidR="00FF5501" w:rsidRPr="00C6542B" w:rsidRDefault="00FF5501" w:rsidP="00FF5501">
      <w:pPr>
        <w:ind w:firstLine="720"/>
        <w:jc w:val="both"/>
      </w:pPr>
      <w:r w:rsidRPr="00C6542B">
        <w:t>Форма предоставления консультации (письменно или устно) определяется должностным лицом, представляющим такую консультацию, самостоятельно, в том числе может осуществляться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FF5501" w:rsidRPr="00C6542B" w:rsidRDefault="00FF5501" w:rsidP="00FF5501">
      <w:pPr>
        <w:ind w:firstLine="720"/>
        <w:jc w:val="both"/>
      </w:pPr>
      <w:r w:rsidRPr="00C6542B">
        <w:t xml:space="preserve">6) </w:t>
      </w:r>
      <w:proofErr w:type="spellStart"/>
      <w:r w:rsidRPr="00C6542B">
        <w:t>Самообследование</w:t>
      </w:r>
      <w:proofErr w:type="spellEnd"/>
      <w:r w:rsidRPr="00C6542B">
        <w:t xml:space="preserve"> - самостоятельная автоматизированная оценка соблюдения обязательных требований. Если по итогам </w:t>
      </w:r>
      <w:proofErr w:type="spellStart"/>
      <w:r w:rsidRPr="00C6542B">
        <w:t>самообследования</w:t>
      </w:r>
      <w:proofErr w:type="spellEnd"/>
      <w:r w:rsidRPr="00C6542B">
        <w:t xml:space="preserve"> юридическое лицо или индивидуальный предприниматель получит высокую оценку, то получит право принять декларацию их соблюдения.</w:t>
      </w:r>
    </w:p>
    <w:p w:rsidR="00FF5501" w:rsidRPr="00C6542B" w:rsidRDefault="00FF5501" w:rsidP="00FF5501">
      <w:pPr>
        <w:ind w:firstLine="720"/>
        <w:jc w:val="both"/>
      </w:pPr>
      <w:r w:rsidRPr="00C6542B">
        <w:t xml:space="preserve">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«Интернет». Контролируемое лицо имеет право </w:t>
      </w:r>
      <w:proofErr w:type="gramStart"/>
      <w:r w:rsidRPr="00C6542B">
        <w:t>разместить сведения</w:t>
      </w:r>
      <w:proofErr w:type="gramEnd"/>
      <w:r w:rsidRPr="00C6542B">
        <w:t xml:space="preserve"> о зарегистрированной декларации соблюдения обязательных требований на своем сайте в сети «Интернет», в принадлежащих ему помещениях, а также использовать такие сведения в рекламной продукции.</w:t>
      </w:r>
    </w:p>
    <w:p w:rsidR="00FF5501" w:rsidRPr="00C6542B" w:rsidRDefault="00FF5501" w:rsidP="00FF5501">
      <w:pPr>
        <w:ind w:firstLine="720"/>
        <w:jc w:val="both"/>
      </w:pPr>
      <w:r w:rsidRPr="00C6542B">
        <w:t>Срок действия декларации соблюдения обязательных требований не менее одного года и не более трех лет с момента регистрации указанной декларации контрольным (надзорным) органом.</w:t>
      </w:r>
    </w:p>
    <w:p w:rsidR="00FF5501" w:rsidRPr="00C6542B" w:rsidRDefault="00FF5501" w:rsidP="00FF5501">
      <w:pPr>
        <w:ind w:firstLine="720"/>
        <w:jc w:val="both"/>
      </w:pPr>
      <w:r w:rsidRPr="00C6542B">
        <w:t>В случае</w:t>
      </w:r>
      <w:proofErr w:type="gramStart"/>
      <w:r w:rsidRPr="00C6542B">
        <w:t>,</w:t>
      </w:r>
      <w:proofErr w:type="gramEnd"/>
      <w:r w:rsidRPr="00C6542B"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C6542B">
        <w:t>самообследовании</w:t>
      </w:r>
      <w:proofErr w:type="spellEnd"/>
      <w:r w:rsidRPr="00C6542B">
        <w:t>, декларация соблюдения обязательных требований аннулируется решением, принимаемым по результатам контрольного (надзорного) мероприятия.</w:t>
      </w:r>
    </w:p>
    <w:p w:rsidR="00FF5501" w:rsidRPr="00C6542B" w:rsidRDefault="00FF5501" w:rsidP="00FF5501">
      <w:pPr>
        <w:ind w:firstLine="720"/>
        <w:jc w:val="both"/>
      </w:pPr>
      <w:r w:rsidRPr="00C6542B">
        <w:t xml:space="preserve">7) Профилактический визит -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6542B">
        <w:t>видео-конференц-связи</w:t>
      </w:r>
      <w:proofErr w:type="spellEnd"/>
      <w:r w:rsidRPr="00C6542B">
        <w:t>.</w:t>
      </w:r>
    </w:p>
    <w:p w:rsidR="00FF5501" w:rsidRPr="00C6542B" w:rsidRDefault="00FF5501" w:rsidP="00FF5501">
      <w:pPr>
        <w:ind w:firstLine="720"/>
        <w:jc w:val="both"/>
      </w:pPr>
      <w:r w:rsidRPr="00C6542B"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FF5501" w:rsidRPr="00C6542B" w:rsidRDefault="00FF5501" w:rsidP="00FF5501">
      <w:pPr>
        <w:ind w:firstLine="720"/>
        <w:jc w:val="both"/>
      </w:pPr>
      <w:r w:rsidRPr="00C6542B"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C6542B">
        <w:t>позднее</w:t>
      </w:r>
      <w:proofErr w:type="gramEnd"/>
      <w:r w:rsidRPr="00C6542B">
        <w:t xml:space="preserve"> чем за пять рабочих дней до даты его проведения.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C6542B">
        <w:t>позднее</w:t>
      </w:r>
      <w:proofErr w:type="gramEnd"/>
      <w:r w:rsidRPr="00C6542B">
        <w:t xml:space="preserve"> чем за три рабочих дня до даты его проведения.</w:t>
      </w:r>
    </w:p>
    <w:p w:rsidR="00FF5501" w:rsidRPr="00C6542B" w:rsidRDefault="00FF5501" w:rsidP="00FF5501">
      <w:pPr>
        <w:ind w:firstLine="720"/>
        <w:jc w:val="both"/>
      </w:pPr>
      <w:r w:rsidRPr="00C6542B">
        <w:t xml:space="preserve">При проведении профилактического визита гражданам, организациям не могут выдаваться предписания об устранении нарушений обязательных требований. </w:t>
      </w:r>
    </w:p>
    <w:p w:rsidR="00FF5501" w:rsidRPr="00C6542B" w:rsidRDefault="00FF5501" w:rsidP="00FF5501">
      <w:pPr>
        <w:ind w:firstLine="720"/>
        <w:jc w:val="both"/>
      </w:pPr>
      <w:r w:rsidRPr="00C6542B">
        <w:t>Участие в профилактических мероприятиях является правом, а не обязанностью подконтрольного лица. При этом лично взаимодействовать с должностным лицом контрольного органа необходимо только в случаях, установленных Законом № 248-ФЗ, и лишь с согласия организации либо по ее инициативе.</w:t>
      </w:r>
    </w:p>
    <w:p w:rsidR="00FF5501" w:rsidRPr="00C6542B" w:rsidRDefault="00FF5501" w:rsidP="00FF5501">
      <w:pPr>
        <w:ind w:firstLine="720"/>
        <w:jc w:val="both"/>
      </w:pPr>
      <w:r w:rsidRPr="00C6542B">
        <w:t>В рамках нового закона предполагается снижение количества проверок не только за счет приоритета профилактики нарушений, но и благодаря введению более мягких (по сравнению с проверками) контрольно-надзорных мероприятий.</w:t>
      </w:r>
    </w:p>
    <w:p w:rsidR="00FF5501" w:rsidRPr="00C6542B" w:rsidRDefault="00FF5501" w:rsidP="00FF5501">
      <w:pPr>
        <w:ind w:firstLine="720"/>
        <w:jc w:val="both"/>
      </w:pPr>
      <w:r w:rsidRPr="00C6542B">
        <w:t>В соответствии с Законом № 248-ФЗ контрольные (надзорные) мероприятия разделены на две группы:</w:t>
      </w:r>
    </w:p>
    <w:p w:rsidR="00FF5501" w:rsidRPr="00C6542B" w:rsidRDefault="00FF5501" w:rsidP="00FF5501">
      <w:pPr>
        <w:ind w:firstLine="720"/>
        <w:jc w:val="both"/>
      </w:pPr>
      <w:proofErr w:type="gramStart"/>
      <w:r w:rsidRPr="00C6542B">
        <w:t>- мероприятия с взаимодействием контрольных (надзорных) органов, их должностных лиц с контролируемыми лицами, включая дистанционное взаимодействие: контрольная закупка, мониторинговая закупка, выборочный контроль, инспекционный визит, рейдовый осмотр, документарная проверка, выездная проверка.</w:t>
      </w:r>
      <w:proofErr w:type="gramEnd"/>
    </w:p>
    <w:p w:rsidR="00FF5501" w:rsidRPr="00C6542B" w:rsidRDefault="00FF5501" w:rsidP="00FF5501">
      <w:pPr>
        <w:ind w:firstLine="720"/>
        <w:jc w:val="both"/>
      </w:pPr>
      <w:r w:rsidRPr="00C6542B">
        <w:t>- мероприятия без взаимодействия с контролируемым лицом: наблюдение за соблюдением обязательных требований и выездное обследование</w:t>
      </w:r>
    </w:p>
    <w:p w:rsidR="00FF5501" w:rsidRPr="00C6542B" w:rsidRDefault="00FF5501" w:rsidP="00FF5501">
      <w:pPr>
        <w:ind w:firstLine="720"/>
        <w:jc w:val="both"/>
      </w:pPr>
      <w:proofErr w:type="gramStart"/>
      <w:r w:rsidRPr="00C6542B">
        <w:t>Взаимодействием контрольных (надзорных) органов, их должностных лиц с контролируемыми лицами при проведении этих мероприятий считаются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  <w:proofErr w:type="gramEnd"/>
    </w:p>
    <w:p w:rsidR="00FF5501" w:rsidRPr="00C6542B" w:rsidRDefault="00FF5501" w:rsidP="00FF5501">
      <w:pPr>
        <w:ind w:firstLine="720"/>
        <w:jc w:val="both"/>
      </w:pPr>
      <w:r w:rsidRPr="00C6542B">
        <w:t>В качестве новелл предусмотрены следующие виды мероприятий:</w:t>
      </w:r>
    </w:p>
    <w:p w:rsidR="00FF5501" w:rsidRPr="00C6542B" w:rsidRDefault="00FF5501" w:rsidP="00FF5501">
      <w:pPr>
        <w:ind w:firstLine="720"/>
        <w:jc w:val="both"/>
      </w:pPr>
      <w:r w:rsidRPr="00C6542B">
        <w:t>- мониторинговая закупка – в отличие от уже существующей контрольной закупки, она будет проводиться для последующего направления товаров, результатов работ и услуг, например, на экспертизу. В остальном эти мероприятия похожи;</w:t>
      </w:r>
    </w:p>
    <w:p w:rsidR="00FF5501" w:rsidRPr="00C6542B" w:rsidRDefault="00FF5501" w:rsidP="00FF5501">
      <w:pPr>
        <w:ind w:firstLine="720"/>
        <w:jc w:val="both"/>
      </w:pPr>
      <w:r w:rsidRPr="00C6542B">
        <w:t>- выборочный контроль - отбор проб образцов продукции, чтобы подтвердить их соответствие обязательным требованиям по безопасности, качеству;</w:t>
      </w:r>
    </w:p>
    <w:p w:rsidR="00FF5501" w:rsidRPr="00C6542B" w:rsidRDefault="00FF5501" w:rsidP="00FF5501">
      <w:pPr>
        <w:ind w:firstLine="720"/>
        <w:jc w:val="both"/>
      </w:pPr>
      <w:r w:rsidRPr="00C6542B">
        <w:t>- инспекционный визит, в ходе которого предприниматель обязан обеспечить беспрепятственный доступ инспектора в здания, сооружения, помещения. О проведении данного мероприятия предварительно не уведомляют.</w:t>
      </w:r>
    </w:p>
    <w:p w:rsidR="00FF5501" w:rsidRPr="00C6542B" w:rsidRDefault="00FF5501" w:rsidP="00FF5501">
      <w:pPr>
        <w:ind w:firstLine="720"/>
        <w:jc w:val="both"/>
      </w:pPr>
      <w:r w:rsidRPr="00C6542B">
        <w:t>- выездное обследование - визуальная оценка соблюдения обязательных требований без взаимодействия с проверяемым лицом (например, осмотр общедоступных производственных объектов).</w:t>
      </w:r>
    </w:p>
    <w:p w:rsidR="00FF5501" w:rsidRPr="00C6542B" w:rsidRDefault="00FF5501" w:rsidP="00FF5501">
      <w:pPr>
        <w:ind w:firstLine="720"/>
        <w:jc w:val="both"/>
      </w:pPr>
      <w:r w:rsidRPr="00C6542B">
        <w:t>Новым законом предусмотрена возможность проводить инспекционный визит и выездную проверку дистанционно, в том числе посредством аудио- или видеосвязи.</w:t>
      </w:r>
    </w:p>
    <w:p w:rsidR="00FF5501" w:rsidRPr="00C6542B" w:rsidRDefault="00FF5501" w:rsidP="00FF5501">
      <w:pPr>
        <w:ind w:firstLine="720"/>
        <w:jc w:val="both"/>
      </w:pPr>
      <w:r w:rsidRPr="00C6542B">
        <w:t>Срок проведения проверки сокращен до 10 рабочих дней.</w:t>
      </w:r>
    </w:p>
    <w:p w:rsidR="00FF5501" w:rsidRPr="00C6542B" w:rsidRDefault="00FF5501" w:rsidP="00FF5501">
      <w:pPr>
        <w:ind w:firstLine="720"/>
        <w:jc w:val="both"/>
      </w:pPr>
      <w:r w:rsidRPr="00C6542B">
        <w:t>Новым законом предусмотрена возможность отмены решений, принятых по результатам любого контрольно-надзорного мероприятия, которое провели с грубыми нарушениями.</w:t>
      </w:r>
    </w:p>
    <w:p w:rsidR="00FF5501" w:rsidRPr="00C6542B" w:rsidRDefault="00FF5501" w:rsidP="00FF5501">
      <w:pPr>
        <w:ind w:firstLine="720"/>
        <w:jc w:val="both"/>
      </w:pPr>
      <w:r w:rsidRPr="00C6542B">
        <w:t>Важным нововведением станет невозможность проведения контрольного (надзорного) мероприятия, которое не включено в Единый реестр контрольных (надзорных) мероприятий. Нарушение этого правила будет считаться грубым нарушением требований к организации и осуществлению государственного контроля (надзора), муниципального контроля, которое послужит основанием для отмены соответствующего решения, принятого по результатам такого контрольного (надзорного) мероприятия.</w:t>
      </w:r>
    </w:p>
    <w:p w:rsidR="00FF5501" w:rsidRPr="00C6542B" w:rsidRDefault="00FF5501" w:rsidP="00FF5501">
      <w:pPr>
        <w:ind w:firstLine="720"/>
        <w:jc w:val="both"/>
      </w:pPr>
      <w:proofErr w:type="gramStart"/>
      <w:r w:rsidRPr="00C6542B">
        <w:t>В качестве последствия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Законом № 248-ФЗ установлено требование об обязательном согласовании с органами прокуратуры проведения повторного внепланового контрольного (надзорного) мероприятия в отношении данного контролируемого лица вне зависимости от вида контрольного (надзорного) мероприятия и основания для его проведения (ч. 3 ст. 91).</w:t>
      </w:r>
      <w:proofErr w:type="gramEnd"/>
    </w:p>
    <w:p w:rsidR="00FF5501" w:rsidRDefault="00FF5501" w:rsidP="00FF5501">
      <w:pPr>
        <w:jc w:val="both"/>
      </w:pPr>
    </w:p>
    <w:p w:rsidR="00FF5501" w:rsidRDefault="00FF5501" w:rsidP="00FF5501">
      <w:pPr>
        <w:jc w:val="both"/>
      </w:pPr>
    </w:p>
    <w:p w:rsidR="00FF5501" w:rsidRDefault="00FF5501" w:rsidP="00FF5501">
      <w:pPr>
        <w:jc w:val="both"/>
      </w:pPr>
      <w:r>
        <w:t xml:space="preserve">Старший </w:t>
      </w:r>
      <w:r w:rsidRPr="00BB74B5">
        <w:t xml:space="preserve">помощник прокурора </w:t>
      </w:r>
    </w:p>
    <w:p w:rsidR="00FF5501" w:rsidRPr="004A5C11" w:rsidRDefault="00FF5501" w:rsidP="00FF5501">
      <w:pPr>
        <w:jc w:val="both"/>
      </w:pPr>
      <w:proofErr w:type="spellStart"/>
      <w:r w:rsidRPr="00BB74B5">
        <w:t>Беляевского</w:t>
      </w:r>
      <w:proofErr w:type="spellEnd"/>
      <w:r w:rsidRPr="00BB74B5">
        <w:t xml:space="preserve"> района                                                          </w:t>
      </w:r>
      <w:r>
        <w:t xml:space="preserve">                 </w:t>
      </w:r>
      <w:r w:rsidRPr="00BB74B5">
        <w:t>А.А. Ткаченко</w:t>
      </w:r>
    </w:p>
    <w:p w:rsidR="00FF5501" w:rsidRDefault="00FF5501" w:rsidP="00F64BE8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BE8"/>
    <w:rsid w:val="00090907"/>
    <w:rsid w:val="000F4168"/>
    <w:rsid w:val="002A71C2"/>
    <w:rsid w:val="002C6DAA"/>
    <w:rsid w:val="007014A5"/>
    <w:rsid w:val="008033C8"/>
    <w:rsid w:val="00B46CA4"/>
    <w:rsid w:val="00CD40AD"/>
    <w:rsid w:val="00F64BE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2020-01-28T07:34:00Z</dcterms:created>
  <dcterms:modified xsi:type="dcterms:W3CDTF">2021-08-18T05:16:00Z</dcterms:modified>
</cp:coreProperties>
</file>