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D82B30">
      <w:pPr>
        <w:jc w:val="right"/>
        <w:rPr>
          <w:rFonts w:ascii="Arial Narrow" w:hAnsi="Arial Narrow" w:cs="Arial"/>
          <w:b/>
          <w:shadow/>
          <w:sz w:val="44"/>
          <w:szCs w:val="44"/>
        </w:rPr>
      </w:pPr>
      <w:r>
        <w:rPr>
          <w:rFonts w:ascii="Arial Narrow" w:hAnsi="Arial Narrow" w:cs="Arial"/>
          <w:b/>
          <w:shadow/>
          <w:sz w:val="44"/>
          <w:szCs w:val="44"/>
        </w:rPr>
        <w:t>№ 266</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2</w:t>
      </w:r>
      <w:r w:rsidR="00406E0E">
        <w:rPr>
          <w:rFonts w:ascii="Arial Narrow" w:hAnsi="Arial Narrow" w:cs="Arial"/>
          <w:b/>
          <w:shadow/>
          <w:sz w:val="44"/>
          <w:szCs w:val="44"/>
        </w:rPr>
        <w:t>9</w:t>
      </w:r>
      <w:r>
        <w:rPr>
          <w:rFonts w:ascii="Arial Narrow" w:hAnsi="Arial Narrow" w:cs="Arial"/>
          <w:b/>
          <w:shadow/>
          <w:sz w:val="44"/>
          <w:szCs w:val="44"/>
        </w:rPr>
        <w:t xml:space="preserve"> июля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2024</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D82B30" w:rsidRPr="009647BC" w:rsidRDefault="00D82B30" w:rsidP="00D82B30">
      <w:pPr>
        <w:jc w:val="center"/>
        <w:rPr>
          <w:b/>
        </w:rPr>
      </w:pPr>
      <w:r w:rsidRPr="009647BC">
        <w:rPr>
          <w:b/>
        </w:rPr>
        <w:t>«Ответственность за незаконное вовлечения граждан в теневые финансовые потоки»</w:t>
      </w:r>
    </w:p>
    <w:p w:rsidR="00D82B30" w:rsidRPr="009647BC" w:rsidRDefault="00D82B30" w:rsidP="00D82B30">
      <w:pPr>
        <w:jc w:val="both"/>
      </w:pPr>
      <w:r w:rsidRPr="009647BC">
        <w:t xml:space="preserve">Статьями 173.1 и 173.2 Уголовного кодекса Российской Федерации (далее УК РФ) предусмотрена ответственность за создание фирм-однодневок. Лица, использующие чужие документы для образования таких юридических лиц, подлежат уголовной ответственности по ст. 173.1 УК РФ, предоставившие их - по ст. 173.2 УК РФ. Так за образование (создание, реорганизацию)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предусмотрена уголовная ответственность по ст. 173.1 УК РФ.Санкция статьи предусматривает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принудительных работ на срок до трех лет, либо лишение свободы на тот же срок.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влечет, согласно ч.2 ст.173.2 УК РФ, наказание в виде штрафа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принудительные работы на срок до трех лет, либо лишение свободы на тот же срок. Под приобретением документа, удостоверяющего личность,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 Под подставными лицами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 Прокуратура Беляевского </w:t>
      </w:r>
      <w:r w:rsidRPr="009647BC">
        <w:lastRenderedPageBreak/>
        <w:t>района предупреждает, что участие в подобных схемах обналичивания денежных средств – прямое нарушение закона и неминуемо повлечет ответственность.</w:t>
      </w:r>
    </w:p>
    <w:p w:rsidR="00D82B30" w:rsidRDefault="00D82B30">
      <w:pPr>
        <w:pStyle w:val="12"/>
        <w:spacing w:line="2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4916AB">
        <w:trPr>
          <w:trHeight w:val="2841"/>
        </w:trPr>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8"/>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C8D" w:rsidRDefault="00DC1C8D">
      <w:r>
        <w:separator/>
      </w:r>
    </w:p>
  </w:endnote>
  <w:endnote w:type="continuationSeparator" w:id="1">
    <w:p w:rsidR="00DC1C8D" w:rsidRDefault="00DC1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charset w:val="01"/>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C8D" w:rsidRDefault="00DC1C8D">
      <w:r>
        <w:separator/>
      </w:r>
    </w:p>
  </w:footnote>
  <w:footnote w:type="continuationSeparator" w:id="1">
    <w:p w:rsidR="00DC1C8D" w:rsidRDefault="00DC1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969B6"/>
    <w:rsid w:val="00CC1797"/>
    <w:rsid w:val="00CF0715"/>
    <w:rsid w:val="00CF77B0"/>
    <w:rsid w:val="00D20608"/>
    <w:rsid w:val="00D20BEA"/>
    <w:rsid w:val="00D24B62"/>
    <w:rsid w:val="00D3562D"/>
    <w:rsid w:val="00D44C3D"/>
    <w:rsid w:val="00D71EDA"/>
    <w:rsid w:val="00D82B30"/>
    <w:rsid w:val="00DC1C8D"/>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9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428</Words>
  <Characters>2442</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10</cp:revision>
  <dcterms:created xsi:type="dcterms:W3CDTF">2023-06-23T07:47:00Z</dcterms:created>
  <dcterms:modified xsi:type="dcterms:W3CDTF">2024-07-29T05:14:00Z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